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bookmarkStart w:id="0" w:name="_GoBack"/>
            <w:bookmarkEnd w:id="0"/>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 xml:space="preserve">Durch das Amt </w:t>
            </w:r>
            <w:r>
              <w:rPr>
                <w:b/>
                <w:i/>
                <w:sz w:val="16"/>
              </w:rPr>
              <w:t>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Gläubi</w:t>
            </w:r>
            <w:r>
              <w:rPr>
                <w:sz w:val="18"/>
              </w:rPr>
              <w:t xml:space="preserve">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w:t>
            </w:r>
            <w:r>
              <w:rPr>
                <w:b/>
                <w:sz w:val="20"/>
              </w:rPr>
              <w:t>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w:t>
            </w:r>
            <w:r>
              <w:rPr>
                <w:sz w:val="20"/>
              </w:rPr>
              <w:t>htsvorschlages (Rechtsöffnung) gestellt oder eine gerichtliche Klage eingereicht hat. Ist dies nicht der Fall (bzw. erfolgt keine solche Erklärung), so wird das Gesuch gutgeheissen und die oben genannte Betreibung wird Dritten nicht mehr offengelegt. Reich</w:t>
            </w:r>
            <w:r>
              <w:rPr>
                <w:sz w:val="20"/>
              </w:rPr>
              <w:t>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w:t>
            </w:r>
            <w:proofErr w:type="spellStart"/>
            <w:r>
              <w:rPr>
                <w:sz w:val="20"/>
              </w:rPr>
              <w:t>GebV</w:t>
            </w:r>
            <w:proofErr w:type="spellEnd"/>
            <w:r>
              <w:rPr>
                <w:sz w:val="20"/>
              </w:rPr>
              <w:t xml:space="preserve"> SchKG b</w:t>
            </w:r>
            <w:r>
              <w:rPr>
                <w:sz w:val="20"/>
              </w:rPr>
              <w:t xml:space="preserve">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rsidR="002B34A1" w:rsidRDefault="002B34A1">
      <w:pPr>
        <w:spacing w:line="240" w:lineRule="auto"/>
        <w:rPr>
          <w:b/>
          <w:sz w:val="24"/>
        </w:rPr>
      </w:pPr>
    </w:p>
    <w:p w:rsidR="002B34A1" w:rsidRDefault="003209B0">
      <w:pPr>
        <w:spacing w:line="240" w:lineRule="auto"/>
        <w:outlineLvl w:val="4"/>
        <w:rPr>
          <w:rFonts w:eastAsia="Times New Roman"/>
          <w:b/>
          <w:color w:val="000000"/>
          <w:sz w:val="20"/>
          <w:szCs w:val="23"/>
          <w:lang w:val="de-DE" w:eastAsia="de-CH"/>
        </w:rPr>
      </w:pPr>
      <w:hyperlink r:id="rId9" w:anchor="a8a" w:history="1">
        <w:r>
          <w:rPr>
            <w:rFonts w:eastAsia="Times New Roman"/>
            <w:b/>
            <w:bCs/>
            <w:sz w:val="20"/>
            <w:szCs w:val="23"/>
            <w:lang w:val="de-DE" w:eastAsia="de-CH"/>
          </w:rPr>
          <w:t>Art. 8</w:t>
        </w:r>
        <w:r>
          <w:rPr>
            <w:rFonts w:eastAsia="Times New Roman"/>
            <w:b/>
            <w:i/>
            <w:iCs/>
            <w:sz w:val="20"/>
            <w:szCs w:val="23"/>
            <w:lang w:val="de-DE" w:eastAsia="de-CH"/>
          </w:rPr>
          <w:t>a</w:t>
        </w:r>
      </w:hyperlink>
      <w:r>
        <w:rPr>
          <w:rFonts w:eastAsia="Times New Roman"/>
          <w:b/>
          <w:sz w:val="20"/>
          <w:szCs w:val="23"/>
          <w:lang w:val="de-DE" w:eastAsia="de-CH"/>
        </w:rPr>
        <w:t xml:space="preserve"> SchKG</w:t>
      </w:r>
      <w:hyperlink r:id="rId10" w:anchor="fn-#a8a-1" w:history="1"/>
      <w:r>
        <w:rPr>
          <w:rFonts w:eastAsia="Times New Roman"/>
          <w:b/>
          <w:sz w:val="14"/>
          <w:szCs w:val="17"/>
          <w:vertAlign w:val="superscript"/>
          <w:lang w:val="de-DE" w:eastAsia="de-CH"/>
        </w:rPr>
        <w:t xml:space="preserve"> </w:t>
      </w:r>
      <w:r>
        <w:rPr>
          <w:rFonts w:eastAsia="Times New Roman"/>
          <w:b/>
          <w:sz w:val="14"/>
          <w:szCs w:val="17"/>
          <w:vertAlign w:val="superscript"/>
          <w:lang w:val="de-DE" w:eastAsia="de-CH"/>
        </w:rPr>
        <w:tab/>
      </w:r>
      <w:r>
        <w:rPr>
          <w:rFonts w:eastAsia="Times New Roman"/>
          <w:b/>
          <w:sz w:val="14"/>
          <w:szCs w:val="17"/>
          <w:vertAlign w:val="superscript"/>
          <w:lang w:val="de-DE" w:eastAsia="de-CH"/>
        </w:rPr>
        <w:br/>
      </w:r>
      <w:hyperlink r:id="rId11" w:anchor="a8a" w:history="1">
        <w:r>
          <w:rPr>
            <w:rFonts w:eastAsia="Times New Roman"/>
            <w:b/>
            <w:sz w:val="20"/>
            <w:szCs w:val="23"/>
            <w:lang w:val="de-DE" w:eastAsia="de-CH"/>
          </w:rPr>
          <w:t>E. Protokolle und Register / 2. Einsichtsrecht</w:t>
        </w:r>
      </w:hyperlink>
      <w:r>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w:t>
      </w:r>
      <w:r>
        <w:rPr>
          <w:rFonts w:eastAsia="Times New Roman"/>
          <w:color w:val="454545"/>
          <w:sz w:val="20"/>
          <w:szCs w:val="23"/>
          <w:lang w:val="de-DE" w:eastAsia="de-CH"/>
        </w:rPr>
        <w:t>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w:t>
      </w:r>
      <w:r>
        <w:rPr>
          <w:rFonts w:eastAsia="Times New Roman"/>
          <w:color w:val="454545"/>
          <w:sz w:val="20"/>
          <w:szCs w:val="23"/>
          <w:lang w:val="de-DE" w:eastAsia="de-CH"/>
        </w:rPr>
        <w:t>,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 xml:space="preserve">b. </w:t>
      </w:r>
      <w:proofErr w:type="gramStart"/>
      <w:r>
        <w:rPr>
          <w:rFonts w:eastAsia="Times New Roman"/>
          <w:color w:val="454545"/>
          <w:sz w:val="20"/>
          <w:szCs w:val="23"/>
          <w:lang w:val="de-DE" w:eastAsia="de-CH"/>
        </w:rPr>
        <w:t>der Schuldner</w:t>
      </w:r>
      <w:proofErr w:type="gramEnd"/>
      <w:r>
        <w:rPr>
          <w:rFonts w:eastAsia="Times New Roman"/>
          <w:color w:val="454545"/>
          <w:sz w:val="20"/>
          <w:szCs w:val="23"/>
          <w:lang w:val="de-DE" w:eastAsia="de-CH"/>
        </w:rPr>
        <w:t xml:space="preserve"> mit eine</w:t>
      </w:r>
      <w:r>
        <w:rPr>
          <w:rFonts w:eastAsia="Times New Roman"/>
          <w:color w:val="454545"/>
          <w:sz w:val="20"/>
          <w:szCs w:val="23"/>
          <w:lang w:val="de-DE" w:eastAsia="de-CH"/>
        </w:rPr>
        <w:t>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 xml:space="preserve">d. der Schuldner nach Ablauf einer Frist von drei Monaten seit der Zustellung des Zahlungsbefehls ein entsprechendes Gesuch gestellt hat, sofern der Gläubiger nach Ablauf </w:t>
      </w:r>
      <w:r>
        <w:rPr>
          <w:rFonts w:eastAsia="Times New Roman"/>
          <w:color w:val="454545"/>
          <w:sz w:val="20"/>
          <w:szCs w:val="23"/>
          <w:lang w:val="de-DE" w:eastAsia="de-CH"/>
        </w:rPr>
        <w:t>einer vom Betreibungsamt angesetzten Frist von 20 Tagen den Nachweis nicht erbringt, dass rechtzeitig ein Verfahren zur Beseitigung des Rechtsvorschlages (Art. 79-84) eingeleitet wurde; wird dieser Nachweis nachträglich erbracht oder wird die Betreibung fo</w:t>
      </w:r>
      <w:r>
        <w:rPr>
          <w:rFonts w:eastAsia="Times New Roman"/>
          <w:color w:val="454545"/>
          <w:sz w:val="20"/>
          <w:szCs w:val="23"/>
          <w:lang w:val="de-DE" w:eastAsia="de-CH"/>
        </w:rPr>
        <w:t>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xml:space="preserve"> Das Einsichtsrecht Dritter erlischt fünf Jahre nach Abschluss des Verfahrens. Gerichts- und Verwaltungsbehörden können im Interesse eines Verfahrens, das bei ihnen hängig ist, weiterhin Auszüge </w:t>
      </w:r>
      <w:r>
        <w:rPr>
          <w:rFonts w:eastAsia="Times New Roman"/>
          <w:color w:val="454545"/>
          <w:sz w:val="20"/>
          <w:szCs w:val="23"/>
          <w:lang w:val="de-DE" w:eastAsia="de-CH"/>
        </w:rPr>
        <w:t>verlangen.</w:t>
      </w:r>
    </w:p>
    <w:p w:rsidR="002B34A1" w:rsidRDefault="002B34A1">
      <w:pPr>
        <w:spacing w:line="240" w:lineRule="auto"/>
        <w:outlineLvl w:val="4"/>
        <w:rPr>
          <w:rFonts w:eastAsia="Times New Roman"/>
          <w:b/>
          <w:bCs/>
          <w:sz w:val="20"/>
          <w:szCs w:val="23"/>
          <w:lang w:val="de-DE" w:eastAsia="de-CH"/>
        </w:rPr>
      </w:pPr>
    </w:p>
    <w:p w:rsidR="002B34A1" w:rsidRDefault="003209B0">
      <w:pPr>
        <w:spacing w:line="240" w:lineRule="auto"/>
        <w:outlineLvl w:val="4"/>
        <w:rPr>
          <w:rFonts w:eastAsia="Times New Roman"/>
          <w:b/>
          <w:bCs/>
          <w:sz w:val="20"/>
          <w:szCs w:val="23"/>
          <w:lang w:val="de-DE" w:eastAsia="de-CH"/>
        </w:rPr>
      </w:pPr>
      <w:hyperlink r:id="rId13" w:anchor="a17" w:history="1">
        <w:r>
          <w:rPr>
            <w:rFonts w:eastAsia="Times New Roman"/>
            <w:b/>
            <w:bCs/>
            <w:sz w:val="20"/>
            <w:szCs w:val="23"/>
            <w:lang w:val="de-DE" w:eastAsia="de-CH"/>
          </w:rPr>
          <w:t>Art. 17 Abs. 1 bis 3 SchKG</w:t>
        </w:r>
        <w:r>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w:t>
      </w:r>
      <w:r>
        <w:rPr>
          <w:rFonts w:eastAsia="Times New Roman"/>
          <w:color w:val="454545"/>
          <w:sz w:val="20"/>
          <w:szCs w:val="23"/>
          <w:lang w:val="de-DE" w:eastAsia="de-CH"/>
        </w:rPr>
        <w:t>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w:t>
      </w:r>
      <w:r>
        <w:rPr>
          <w:rFonts w:eastAsia="Times New Roman"/>
          <w:color w:val="454545"/>
          <w:sz w:val="20"/>
          <w:szCs w:val="23"/>
          <w:lang w:val="de-DE" w:eastAsia="de-CH"/>
        </w:rPr>
        <w:t>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Die Gebühr für das Gesuch nach Artikel 8a Absatz 3 Buchstabe d SchKG beträgt pauschal vierzig Franken. Mit der Bezahlung der Gebühr sind sämtliche nachfolgenden Verfa</w:t>
      </w:r>
      <w:r>
        <w:rPr>
          <w:sz w:val="20"/>
        </w:rPr>
        <w:t xml:space="preserve">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4A1" w:rsidRDefault="003209B0">
      <w:pPr>
        <w:spacing w:line="240" w:lineRule="auto"/>
      </w:pPr>
      <w:r>
        <w:separator/>
      </w:r>
    </w:p>
  </w:endnote>
  <w:endnote w:type="continuationSeparator" w:id="0">
    <w:p w:rsidR="002B34A1" w:rsidRDefault="00320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4A1" w:rsidRDefault="003209B0">
      <w:pPr>
        <w:spacing w:line="240" w:lineRule="auto"/>
      </w:pPr>
      <w:r>
        <w:separator/>
      </w:r>
    </w:p>
  </w:footnote>
  <w:footnote w:type="continuationSeparator" w:id="0">
    <w:p w:rsidR="002B34A1" w:rsidRDefault="003209B0">
      <w:pPr>
        <w:spacing w:line="240" w:lineRule="auto"/>
      </w:pPr>
      <w:r>
        <w:continuationSeparator/>
      </w:r>
    </w:p>
  </w:footnote>
  <w:footnote w:id="1">
    <w:p w:rsidR="002B34A1" w:rsidRDefault="003209B0">
      <w:pPr>
        <w:pStyle w:val="Funotentext"/>
      </w:pPr>
      <w:r>
        <w:rPr>
          <w:rStyle w:val="Funotenzeichen"/>
        </w:rPr>
        <w:footnoteRef/>
      </w:r>
      <w:r>
        <w:t xml:space="preserve"> In Kraft ab dem 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1"/>
    <w:rsid w:val="002B34A1"/>
    <w:rsid w:val="003209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C68047-7A57-4B7E-A3CB-D34915C9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4726</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Simone Ludin</cp:lastModifiedBy>
  <cp:revision>2</cp:revision>
  <cp:lastPrinted>2018-08-31T08:19:00Z</cp:lastPrinted>
  <dcterms:created xsi:type="dcterms:W3CDTF">2018-10-22T07:44:00Z</dcterms:created>
  <dcterms:modified xsi:type="dcterms:W3CDTF">2018-10-22T07:44:00Z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